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EDITA</w:t>
      </w:r>
      <w:r w:rsidDel="00000000" w:rsidR="00000000" w:rsidRPr="00000000">
        <w:rPr>
          <w:rFonts w:ascii="Times New Roman" w:cs="Times New Roman" w:eastAsia="Times New Roman" w:hAnsi="Times New Roman"/>
          <w:b w:val="1"/>
          <w:sz w:val="24"/>
          <w:szCs w:val="24"/>
          <w:rtl w:val="0"/>
        </w:rPr>
        <w:t xml:space="preserve">L 14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/PROEX/IFG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VII</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TERMO DE CONCESSÃO E ACEITAÇÃO DE AUXÍLIO FINANCEIRO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Fomento e apoio para desenvolvimento de Ações de Extensão/IFG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1piptotnism" w:id="0"/>
      <w:bookmarkEnd w:id="0"/>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9"/>
        </w:tabs>
        <w:spacing w:after="0" w:before="121"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OBRIGAÇÕES E COMPROMISSOS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9"/>
        </w:tabs>
        <w:spacing w:after="0" w:before="120" w:line="240" w:lineRule="auto"/>
        <w:ind w:left="238"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obrigações e compromissos dos/as extensionistas do IFG com propostas aprovadas por meio do Edita</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highlight w:val="white"/>
          <w:rtl w:val="0"/>
        </w:rPr>
        <w:t xml:space="preserve"> 14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/202</w:t>
      </w:r>
      <w:r w:rsidDel="00000000" w:rsidR="00000000" w:rsidRPr="00000000">
        <w:rPr>
          <w:rFonts w:ascii="Times New Roman" w:cs="Times New Roman" w:eastAsia="Times New Roman" w:hAnsi="Times New Roman"/>
          <w:sz w:val="24"/>
          <w:szCs w:val="24"/>
          <w:highlight w:val="whit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/PROEX/IFG:</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Dedicar-se às atividades pertinentes à proposta aprovada;</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Observar o disposto nas Leis nº 8.666/93 e nº 10.973/04, nos Decretos nº 93.872/86 e nº 5.563/05 e na Lei nº 8.112/90, no que couber, bem como os demais instrumentos legais pertinentes;</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 BENEFICIÁRIO;</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Responsabilizar-se pela adequada implementação e aplicação dos recursos financeiros aprovados, atendendo aos aspectos normativos definidos para a(s) modalidade(s) concedida(s), podendo estar previsto apenas recursos de custeio, como também recursos para bolsas;</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 os recursos financeiros em acordo com os critérios e procedimentos estabelecidos pela </w:t>
      </w:r>
      <w:r w:rsidDel="00000000" w:rsidR="00000000" w:rsidRPr="00000000">
        <w:rPr>
          <w:rFonts w:ascii="Times New Roman" w:cs="Times New Roman" w:eastAsia="Times New Roman" w:hAnsi="Times New Roman"/>
          <w:sz w:val="24"/>
          <w:szCs w:val="24"/>
          <w:rtl w:val="0"/>
        </w:rPr>
        <w:t xml:space="preserve">Portaria Normativa 2120/2023</w:t>
      </w:r>
      <w:r w:rsidDel="00000000" w:rsidR="00000000" w:rsidRPr="00000000">
        <w:rPr>
          <w:rFonts w:ascii="Times New Roman" w:cs="Times New Roman" w:eastAsia="Times New Roman" w:hAnsi="Times New Roman"/>
          <w:rtl w:val="0"/>
        </w:rPr>
        <w:t xml:space="preserve"> - Reitoria/IFG </w:t>
      </w:r>
      <w:r w:rsidDel="00000000" w:rsidR="00000000" w:rsidRPr="00000000">
        <w:rPr>
          <w:rFonts w:ascii="Times New Roman" w:cs="Times New Roman" w:eastAsia="Times New Roman" w:hAnsi="Times New Roman"/>
          <w:sz w:val="24"/>
          <w:szCs w:val="24"/>
          <w:rtl w:val="0"/>
        </w:rPr>
        <w:t xml:space="preserve"> 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Manual simplificado de utilização de recursos e prestação de contas - Auxílio Extensionist</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(Anexo </w:t>
      </w:r>
      <w:r w:rsidDel="00000000" w:rsidR="00000000" w:rsidRPr="00000000">
        <w:rPr>
          <w:rFonts w:ascii="Times New Roman" w:cs="Times New Roman" w:eastAsia="Times New Roman" w:hAnsi="Times New Roman"/>
          <w:sz w:val="24"/>
          <w:szCs w:val="24"/>
          <w:highlight w:val="white"/>
          <w:rtl w:val="0"/>
        </w:rPr>
        <w:t xml:space="preserve">VI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Assumir todas as obrigações legais decorrentes 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contratações eventuais necessárias à consecução do objeto, não tendo tais contratações qualquer vínculo com o IFG;</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nos prazos que lhe forem determinados, informações ou documentos referentes tanto ao desenvolvimento quanto à conclusão da ação de extensão ou plano de trabalho aprovado;</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necessárias, propor alterações no plano de trabalho, sujeitas à prévia análise e autorização do IFG, que não implique remanejamento de despesas entre rubricas. </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51"/>
        </w:tabs>
        <w:spacing w:after="0" w:before="6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a prestação de contas financeira em até 60 (sessenta) dias após o término da vigência da ação de extensão, em conformidade com o disposto no </w:t>
      </w:r>
      <w:r w:rsidDel="00000000" w:rsidR="00000000" w:rsidRPr="00000000">
        <w:rPr>
          <w:rFonts w:ascii="Times New Roman" w:cs="Times New Roman" w:eastAsia="Times New Roman" w:hAnsi="Times New Roman"/>
          <w:i w:val="1"/>
          <w:sz w:val="24"/>
          <w:szCs w:val="24"/>
          <w:rtl w:val="0"/>
        </w:rPr>
        <w:t xml:space="preserve">Manual simplificado de utilização de recursos e prestação de contas - Auxílio Extensionista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(Anexo VI)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120" w:before="360" w:line="240" w:lineRule="auto"/>
        <w:ind w:left="357"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PUBLICAÇÕES E DIVULGAÇÃO</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s>
        <w:spacing w:after="0" w:before="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Trabalhos publicados e sua divulgação, sob qualquer forma de comunicação ou por qualquer veículo, de resultados obtidos com recursos da ação de extensão, deverão, obrigatoriamente, no idioma da divulgação, fazer menção expressa ao apoio recebido do Instituto Federal de Goiás.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120" w:before="360" w:line="240" w:lineRule="auto"/>
        <w:ind w:left="357"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PROPRIEDADE INTELECTUAL / CRIAÇÃO PROTEGIDA</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os resultados da ação de extensão, ou o relatório em si, venham a ter valor comercial ou possam levar ao desenvolvimento de um produto ou método envolvendo o estabelecimento de uma patente, a troca de informações e a reserva dos direitos, em cada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dar-se-á de acordo com o estabelecido na Lei de Inovação, nº 10.973, de 2 de dezembro de 2004, regulamentada pelo Decreto nº 5.563, de 11 de outubro de 2005 e pelas normas institucionais.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3"/>
        </w:tabs>
        <w:spacing w:after="120" w:before="360" w:line="240"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ACOMPANHAMENTO</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s>
        <w:spacing w:after="0" w:before="60" w:line="240" w:lineRule="auto"/>
        <w:ind w:left="788" w:right="0" w:hanging="4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acompanhamento da execução das atividades será realizada no Módulo de Extensão no SUAP pela Gerência de Pesquisa, Pós-graduação e Extensão do câmpus.</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s>
        <w:spacing w:after="0" w:before="60" w:line="240" w:lineRule="auto"/>
        <w:ind w:left="788" w:right="0" w:hanging="4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Pró-Reitoria de Extensão será responsável pela conferência da prestação de contas, dentro do Módulo de Extensão no SUAP.</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120" w:before="360" w:line="240" w:lineRule="auto"/>
        <w:ind w:left="357" w:right="0" w:hanging="35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DESISTÊNCIA E SUSPENSÃO</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o/a extensionista desistir da execução do 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extensionista deverá comunicar formalmente à Gerência de Pesquisa, Pós-graduação e Extensão - Gepex da unidade de origem qualquer descontinuidade do plano de trabalho ou da ação de extensão, acompanhada da devida justificativa.</w:t>
      </w:r>
    </w:p>
    <w:p w:rsidR="00000000" w:rsidDel="00000000" w:rsidP="00000000" w:rsidRDefault="00000000" w:rsidRPr="00000000" w14:paraId="0000001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prazo de 30 (trinta) dias da comunicação da descontinuidade, deverão ser apresentados o relatório técnico e a prestação de contas, como também deverá ser devolvido ao IFG eventual saldo financeiro.</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626"/>
          <w:tab w:val="left" w:leader="none" w:pos="1418"/>
        </w:tabs>
        <w:spacing w:after="0" w:before="144" w:line="240"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não observância do prazo estabelecido no item 5.2.1 implicará a correção do valor originalmente concedido, na forma da legislação aplicável aos débitos da Fazenda Nacional.</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liberação dos recursos do apoio financeiro à ação de extensão (plano de trabalho), bem como de quaisquer outros benefícios aprovados pelo IFG, será suspensa quando ocorrer uma das seguintes impropriedades:</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Desvio de finalidade na utilização dos recursos adquiridos na ação de extensão.</w:t>
      </w:r>
    </w:p>
    <w:p w:rsidR="00000000" w:rsidDel="00000000" w:rsidP="00000000" w:rsidRDefault="00000000" w:rsidRPr="00000000" w14:paraId="0000002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Atrasos não justificados no cumprimento das etapas ou fases programadas na ação de extensão/plano de trabalho.</w:t>
      </w:r>
    </w:p>
    <w:p w:rsidR="00000000" w:rsidDel="00000000" w:rsidP="00000000" w:rsidRDefault="00000000" w:rsidRPr="00000000" w14:paraId="0000002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1224"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Quando for descumprida qualquer condição deste instrumento.</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extensionista, cuja prestação de contas e relatório técnico final da ação de extensão/plano de trabalho com vigência expirada não forem aprovados, será considerado inadimplente e terá suspenso os pagamentos, bem como a concessão de novas modalidades de apoio, sem prejuízo de outras medidas julgadas necessárias pelo IFG e previstas na lei.</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120" w:before="36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DISPOSIÇÕES FINAIS</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pessoal envolvido/contratado na execução da ação de extensão, não possuirá vínculo de qualquer natureza com o IFG e deste não poderá demandar quaisquer pagamentos, sendo estes de inteira responsabilidade do coordenador.</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ação de extensão, no Módulo de Extensão do SUAP, somente será encerrada após as aprovações de sua prestação contas, que deverá ser realizada em até 60 (sessenta dias) após o término da vigência da ação de extensão, e desde que cumpridas todas as condições previstas neste instrumento e nas normas aplicáveis.</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descumprimento de qualquer condição constante deste instrumento e a inobservância de dispositivos legais aplicáveis implicará o encerramento imediato do apoio financeiro aprovado e obrigará o coordenador a ressarcir integralmente o IFG de todas as despesas realizadas, atualizadas nos termos da legislação, sem prejuízo da aplicação de penalidades cabíveis.</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recusa ou omissão do/a extensionista, quanto ao ressarcimento de que trata este item, ensejará a consequente abertura de tomada de contas especial e a decorrente inscrição do débito no Cadastro de Inadimplência Institucional - CADIN e do Tesouro Nacional.</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 extensionista reconhece que ao IFG, por meio da Pró-Reitoria de Extensão, compete exercer a autoridade normativa de controle e fiscalização sobre a execução da ação de extensão, bem como assumir ou transferir a responsabilidade pela mesma, no caso da paralisação ou de fato relevante que venha a ocorrer, de modo a evitar a descontinuidade das atividades.</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concessão dos recursos financeiros aos extensionistas está condicionada à disponibilidade orçamentária do IFG, e irá ocorrer mediante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descentralização _________parcela(s) (inserir quantidade de parcelas).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6"/>
        </w:tabs>
        <w:spacing w:after="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casos omissos, não previstos neste documento, serão analisados e deliberados pela Pró-Reitoria de Extensão.</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120" w:before="36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ACEITE</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conhecer, concordar e atender integralmente às exigências do edital acima especificado e às condições contidas nos regulamentos institucionais. </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ainda que li e aceitei integralmente os termos deste documento, comprometendo-me a cumpri-los fielmente, não podendo em nenhuma hipótese, deles alegar desconhecimento.</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que sou titular da conta corrente onde será creditado o recurso desta chamada, conforme os dados abaixo: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Banco: ___________________________________________________________________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Titular: ___________________________________________________________</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CPF:_____________________________________________________________________</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Agência:__________________________________________________________________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 Corrente:____________________________________________________________</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 A conta indicada deverá ser em nome do coordenador da ação, não sendo permitido conta poupança. </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437"/>
          <w:tab w:val="left" w:leader="none" w:pos="4627"/>
        </w:tabs>
        <w:spacing w:after="0" w:before="144"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prazo para utilização dos recursos financeiros começa a vigorar a partir da data da assinatura deste Termo de Concessão e Aceitação, pelo período constante no Edital correspondente.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bookmarkStart w:colFirst="0" w:colLast="0" w:name="_heading=h.30j0zll" w:id="2"/>
      <w:bookmarkEnd w:id="2"/>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ASSINATURA</w:t>
      </w:r>
    </w:p>
    <w:sectPr>
      <w:headerReference r:id="rId7" w:type="default"/>
      <w:footerReference r:id="rId8" w:type="default"/>
      <w:pgSz w:h="16838" w:w="11906" w:orient="portrait"/>
      <w:pgMar w:bottom="1560" w:top="2410" w:left="993" w:right="1278" w:header="720" w:footer="3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Pró-Reitoria de Extensão do Instituto Federal de Educação, Ciência e Tecnologia de Goiás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Rua C-198, Quadra 500, Jardim América, Goiânia, Goiás. CEP: 74270-040</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Fone: (62) 3612.2216 E-mail: </w:t>
    </w:r>
    <w:hyperlink r:id="rId2">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proex@ifg.edu.br</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2527300</wp:posOffset>
              </wp:positionH>
              <wp:positionV relativeFrom="paragraph">
                <wp:posOffset>-241299</wp:posOffset>
              </wp:positionV>
              <wp:extent cx="3784600" cy="923290"/>
              <wp:effectExtent b="0" l="0" r="0" t="0"/>
              <wp:wrapSquare wrapText="bothSides" distB="0" distT="0" distL="0" distR="0"/>
              <wp:docPr id="23" name=""/>
              <a:graphic>
                <a:graphicData uri="http://schemas.microsoft.com/office/word/2010/wordprocessingShape">
                  <wps:wsp>
                    <wps:cNvSpPr/>
                    <wps:cNvPr id="2" name="Shape 2"/>
                    <wps:spPr>
                      <a:xfrm>
                        <a:off x="3458463" y="3323118"/>
                        <a:ext cx="3775075" cy="913765"/>
                      </a:xfrm>
                      <a:prstGeom prst="rect">
                        <a:avLst/>
                      </a:prstGeom>
                      <a:no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MINISTÉRIO DA EDUCAÇÃO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SECRETARIA DE EDUCAÇÃO PROFISSIONAL E TECNOLÓGICA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INSTITUTO FEDERAL DE EDUCAÇÃO, CIÊNCIA E TECNOLOGIA DE GOIÁS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PRÓ-REITORIA DE EXTENSÃO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r>
                        </w:p>
                      </w:txbxContent>
                    </wps:txbx>
                    <wps:bodyPr anchorCtr="0" anchor="t" bIns="700" lIns="700" spcFirstLastPara="1" rIns="700" wrap="square" tIns="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2527300</wp:posOffset>
              </wp:positionH>
              <wp:positionV relativeFrom="paragraph">
                <wp:posOffset>-241299</wp:posOffset>
              </wp:positionV>
              <wp:extent cx="3784600" cy="923290"/>
              <wp:effectExtent b="0" l="0" r="0" t="0"/>
              <wp:wrapSquare wrapText="bothSides" distB="0" distT="0" distL="0" distR="0"/>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84600" cy="92329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-66039</wp:posOffset>
          </wp:positionH>
          <wp:positionV relativeFrom="paragraph">
            <wp:posOffset>-85089</wp:posOffset>
          </wp:positionV>
          <wp:extent cx="2056765" cy="693420"/>
          <wp:effectExtent b="0" l="0" r="0" t="0"/>
          <wp:wrapSquare wrapText="bothSides" distB="0" distT="0" distL="0" distR="0"/>
          <wp:docPr id="24" name="image1.jpg"/>
          <a:graphic>
            <a:graphicData uri="http://schemas.openxmlformats.org/drawingml/2006/picture">
              <pic:pic>
                <pic:nvPicPr>
                  <pic:cNvPr id="0" name="image1.jpg"/>
                  <pic:cNvPicPr preferRelativeResize="0"/>
                </pic:nvPicPr>
                <pic:blipFill>
                  <a:blip r:embed="rId2"/>
                  <a:srcRect b="-38" l="-13" r="-12" t="-40"/>
                  <a:stretch>
                    <a:fillRect/>
                  </a:stretch>
                </pic:blipFill>
                <pic:spPr>
                  <a:xfrm>
                    <a:off x="0" y="0"/>
                    <a:ext cx="2056765" cy="6934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Times New Roman" w:cs="Times New Roman" w:eastAsia="Times New Roman" w:hAnsi="Times New Roman"/>
        <w:b w:val="1"/>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 w:right="0" w:hanging="247.99999999999997"/>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uiPriority w:val="1"/>
    <w:qFormat w:val="1"/>
    <w:rsid w:val="008F0879"/>
    <w:rPr>
      <w:lang w:bidi="pt-PT" w:eastAsia="pt-PT"/>
    </w:rPr>
  </w:style>
  <w:style w:type="paragraph" w:styleId="Ttulo1">
    <w:name w:val="heading 1"/>
    <w:basedOn w:val="LO-normal"/>
    <w:next w:val="LO-normal"/>
    <w:link w:val="Ttulo1Char"/>
    <w:uiPriority w:val="1"/>
    <w:qFormat w:val="1"/>
    <w:rsid w:val="008F0879"/>
    <w:pPr>
      <w:ind w:left="580" w:hanging="248"/>
      <w:outlineLvl w:val="0"/>
    </w:pPr>
    <w:rPr>
      <w:b w:val="1"/>
      <w:bCs w:val="1"/>
    </w:rPr>
  </w:style>
  <w:style w:type="paragraph" w:styleId="Ttulo2">
    <w:name w:val="heading 2"/>
    <w:basedOn w:val="LO-normal"/>
    <w:next w:val="LO-normal"/>
    <w:qFormat w:val="1"/>
    <w:pPr>
      <w:keepNext w:val="1"/>
      <w:keepLines w:val="1"/>
      <w:spacing w:after="80" w:before="360"/>
      <w:outlineLvl w:val="1"/>
    </w:pPr>
    <w:rPr>
      <w:b w:val="1"/>
      <w:sz w:val="36"/>
      <w:szCs w:val="36"/>
    </w:rPr>
  </w:style>
  <w:style w:type="paragraph" w:styleId="Ttulo3">
    <w:name w:val="heading 3"/>
    <w:basedOn w:val="LO-normal"/>
    <w:next w:val="LO-normal"/>
    <w:qFormat w:val="1"/>
    <w:pPr>
      <w:keepNext w:val="1"/>
      <w:keepLines w:val="1"/>
      <w:spacing w:after="80" w:before="280"/>
      <w:outlineLvl w:val="2"/>
    </w:pPr>
    <w:rPr>
      <w:b w:val="1"/>
      <w:sz w:val="28"/>
      <w:szCs w:val="28"/>
    </w:rPr>
  </w:style>
  <w:style w:type="paragraph" w:styleId="Ttulo4">
    <w:name w:val="heading 4"/>
    <w:basedOn w:val="LO-normal"/>
    <w:next w:val="LO-normal"/>
    <w:qFormat w:val="1"/>
    <w:pPr>
      <w:keepNext w:val="1"/>
      <w:keepLines w:val="1"/>
      <w:spacing w:after="40" w:before="240"/>
      <w:outlineLvl w:val="3"/>
    </w:pPr>
    <w:rPr>
      <w:b w:val="1"/>
      <w:sz w:val="24"/>
      <w:szCs w:val="24"/>
    </w:rPr>
  </w:style>
  <w:style w:type="paragraph" w:styleId="Ttulo5">
    <w:name w:val="heading 5"/>
    <w:basedOn w:val="LO-normal"/>
    <w:next w:val="LO-normal"/>
    <w:qFormat w:val="1"/>
    <w:pPr>
      <w:keepNext w:val="1"/>
      <w:keepLines w:val="1"/>
      <w:spacing w:after="40" w:before="220"/>
      <w:outlineLvl w:val="4"/>
    </w:pPr>
    <w:rPr>
      <w:b w:val="1"/>
    </w:rPr>
  </w:style>
  <w:style w:type="paragraph" w:styleId="Ttulo6">
    <w:name w:val="heading 6"/>
    <w:basedOn w:val="LO-normal"/>
    <w:next w:val="LO-normal"/>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LO-normal"/>
    <w:next w:val="Corpodetexto"/>
    <w:qFormat w:val="1"/>
    <w:pPr>
      <w:keepNext w:val="1"/>
      <w:keepLines w:val="1"/>
      <w:spacing w:after="120" w:before="480"/>
    </w:pPr>
    <w:rPr>
      <w:b w:val="1"/>
      <w:sz w:val="72"/>
      <w:szCs w:val="72"/>
    </w:rPr>
  </w:style>
  <w:style w:type="character" w:styleId="Ttulo1Char" w:customStyle="1">
    <w:name w:val="Título 1 Char"/>
    <w:basedOn w:val="Fontepargpadro"/>
    <w:link w:val="Ttulo1"/>
    <w:uiPriority w:val="1"/>
    <w:qFormat w:val="1"/>
    <w:rsid w:val="008F0879"/>
    <w:rPr>
      <w:rFonts w:ascii="Arial" w:cs="Arial" w:eastAsia="Arial" w:hAnsi="Arial"/>
      <w:b w:val="1"/>
      <w:bCs w:val="1"/>
      <w:lang w:bidi="pt-PT" w:eastAsia="pt-PT" w:val="pt-PT"/>
    </w:rPr>
  </w:style>
  <w:style w:type="character" w:styleId="CorpodetextoChar" w:customStyle="1">
    <w:name w:val="Corpo de texto Char"/>
    <w:basedOn w:val="Fontepargpadro"/>
    <w:link w:val="Corpodetexto"/>
    <w:uiPriority w:val="1"/>
    <w:qFormat w:val="1"/>
    <w:rsid w:val="008F0879"/>
    <w:rPr>
      <w:rFonts w:ascii="Arial" w:cs="Arial" w:eastAsia="Arial" w:hAnsi="Arial"/>
      <w:lang w:bidi="pt-PT" w:eastAsia="pt-PT" w:val="pt-PT"/>
    </w:rPr>
  </w:style>
  <w:style w:type="character" w:styleId="CabealhoChar" w:customStyle="1">
    <w:name w:val="Cabeçalho Char"/>
    <w:basedOn w:val="Fontepargpadro"/>
    <w:link w:val="Cabealho"/>
    <w:qFormat w:val="1"/>
    <w:rsid w:val="008F0879"/>
    <w:rPr>
      <w:rFonts w:ascii="Arial" w:cs="Arial" w:eastAsia="Arial" w:hAnsi="Arial"/>
      <w:lang w:bidi="pt-PT" w:eastAsia="pt-PT" w:val="pt-PT"/>
    </w:rPr>
  </w:style>
  <w:style w:type="character" w:styleId="RodapChar" w:customStyle="1">
    <w:name w:val="Rodapé Char"/>
    <w:basedOn w:val="Fontepargpadro"/>
    <w:link w:val="Rodap"/>
    <w:uiPriority w:val="99"/>
    <w:qFormat w:val="1"/>
    <w:rsid w:val="008F0879"/>
    <w:rPr>
      <w:rFonts w:ascii="Arial" w:cs="Arial" w:eastAsia="Arial" w:hAnsi="Arial"/>
      <w:lang w:bidi="pt-PT" w:eastAsia="pt-PT" w:val="pt-PT"/>
    </w:rPr>
  </w:style>
  <w:style w:type="paragraph" w:styleId="Corpodetexto">
    <w:name w:val="Body Text"/>
    <w:basedOn w:val="LO-normal"/>
    <w:link w:val="CorpodetextoChar"/>
    <w:uiPriority w:val="1"/>
    <w:qFormat w:val="1"/>
    <w:rsid w:val="008F0879"/>
    <w:pPr>
      <w:ind w:left="333"/>
      <w:jc w:val="both"/>
    </w:pPr>
  </w:style>
  <w:style w:type="paragraph" w:styleId="Lista">
    <w:name w:val="List"/>
    <w:basedOn w:val="Corpodetexto"/>
  </w:style>
  <w:style w:type="paragraph" w:styleId="Legenda">
    <w:name w:val="caption"/>
    <w:basedOn w:val="Normal"/>
    <w:qFormat w:val="1"/>
    <w:pPr>
      <w:suppressLineNumbers w:val="1"/>
      <w:spacing w:after="120" w:before="120"/>
    </w:pPr>
    <w:rPr>
      <w:i w:val="1"/>
      <w:iCs w:val="1"/>
      <w:sz w:val="24"/>
      <w:szCs w:val="24"/>
    </w:rPr>
  </w:style>
  <w:style w:type="paragraph" w:styleId="ndice" w:customStyle="1">
    <w:name w:val="Índice"/>
    <w:basedOn w:val="Normal"/>
    <w:qFormat w:val="1"/>
    <w:pPr>
      <w:suppressLineNumbers w:val="1"/>
    </w:pPr>
  </w:style>
  <w:style w:type="paragraph" w:styleId="LO-normal" w:customStyle="1">
    <w:name w:val="LO-normal"/>
    <w:qFormat w:val="1"/>
    <w:rPr>
      <w:lang w:bidi="hi-IN" w:eastAsia="zh-CN"/>
    </w:rPr>
  </w:style>
  <w:style w:type="paragraph" w:styleId="PargrafodaLista">
    <w:name w:val="List Paragraph"/>
    <w:basedOn w:val="LO-normal"/>
    <w:uiPriority w:val="1"/>
    <w:qFormat w:val="1"/>
    <w:rsid w:val="008F0879"/>
    <w:pPr>
      <w:ind w:left="333"/>
      <w:jc w:val="both"/>
    </w:pPr>
  </w:style>
  <w:style w:type="paragraph" w:styleId="CabealhoeRodap" w:customStyle="1">
    <w:name w:val="Cabeçalho e Rodapé"/>
    <w:basedOn w:val="Normal"/>
    <w:qFormat w:val="1"/>
  </w:style>
  <w:style w:type="paragraph" w:styleId="Cabealho">
    <w:name w:val="header"/>
    <w:basedOn w:val="LO-normal"/>
    <w:link w:val="CabealhoChar"/>
    <w:unhideWhenUsed w:val="1"/>
    <w:rsid w:val="008F0879"/>
    <w:pPr>
      <w:tabs>
        <w:tab w:val="center" w:pos="4252"/>
        <w:tab w:val="right" w:pos="8504"/>
      </w:tabs>
    </w:pPr>
  </w:style>
  <w:style w:type="paragraph" w:styleId="Ttulo21" w:customStyle="1">
    <w:name w:val="Título 21"/>
    <w:basedOn w:val="LO-normal"/>
    <w:uiPriority w:val="1"/>
    <w:qFormat w:val="1"/>
    <w:rsid w:val="008F0879"/>
    <w:pPr>
      <w:ind w:left="459" w:hanging="222"/>
      <w:outlineLvl w:val="2"/>
    </w:pPr>
    <w:rPr>
      <w:rFonts w:ascii="Times New Roman" w:cs="Times New Roman" w:eastAsia="Times New Roman" w:hAnsi="Times New Roman"/>
      <w:b w:val="1"/>
      <w:bCs w:val="1"/>
      <w:lang w:bidi="ar-SA" w:eastAsia="en-US"/>
    </w:rPr>
  </w:style>
  <w:style w:type="paragraph" w:styleId="Rodap">
    <w:name w:val="footer"/>
    <w:basedOn w:val="LO-normal"/>
    <w:link w:val="RodapChar"/>
    <w:uiPriority w:val="99"/>
    <w:unhideWhenUsed w:val="1"/>
    <w:rsid w:val="008F0879"/>
    <w:pPr>
      <w:tabs>
        <w:tab w:val="center" w:pos="4252"/>
        <w:tab w:val="right" w:pos="8504"/>
      </w:tabs>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ntedodoquadro" w:customStyle="1">
    <w:name w:val="Conteúdo do quadro"/>
    <w:basedOn w:val="Normal"/>
    <w:qFormat w:val="1"/>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maps/place/Instituto+Federal+de+Goi%C3%A1s+-+Reitoria/@-16.7026525,-49.2808327,438m/data=!3m1!1e3!4m12!1m6!3m5!1s0x935ef1500a9e5511:0xe678f663c6ccdb1d!2sInstituto+Federal+de+Goi%C3%A1s+-+Reitoria!8m2!3d-16.7026525!4d-49.2797384!3m4!1s0x935ef1500a9e5511:0xe678f663c6ccdb1d!8m2!3d-16.7026525!4d-49.2797384" TargetMode="External"/><Relationship Id="rId2" Type="http://schemas.openxmlformats.org/officeDocument/2006/relationships/hyperlink" Target="mailto:proex@ifg.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HyguzNTC7eDneoZ8jRqoOvhcQ==">CgMxLjAyDmguZzFwaXB0b3RuaXNtMghoLmdqZGd4czIJaC4zMGowemxsOAByITFfWUZOb1hyX1NCMUhBazZlSm10ZmloRkxBMTV4UmNPNA==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2021-04-22T14:26:00Z</dcterms:created>
  <dc:creator>vinicius</dc:creator>
</cp:coreProperties>
</file>